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CABC6">
      <w:pPr>
        <w:pStyle w:val="8"/>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440" w:firstLineChars="100"/>
        <w:jc w:val="both"/>
        <w:textAlignment w:val="auto"/>
        <w:rPr>
          <w:rFonts w:hint="eastAsia" w:ascii="方正小标宋简体" w:hAnsi="方正小标宋简体" w:eastAsia="方正小标宋简体" w:cs="方正小标宋简体"/>
          <w:b w:val="0"/>
          <w:bCs w:val="0"/>
          <w:sz w:val="44"/>
          <w:szCs w:val="44"/>
        </w:rPr>
      </w:pPr>
      <w:bookmarkStart w:id="0" w:name="_Toc395536024"/>
      <w:bookmarkStart w:id="1" w:name="_Toc395532295"/>
      <w:bookmarkStart w:id="2" w:name="_Toc395535994"/>
      <w:bookmarkStart w:id="3" w:name="_Toc395533290"/>
      <w:r>
        <w:rPr>
          <w:rFonts w:hint="eastAsia" w:ascii="方正小标宋简体" w:hAnsi="方正小标宋简体" w:eastAsia="方正小标宋简体" w:cs="方正小标宋简体"/>
          <w:b w:val="0"/>
          <w:bCs w:val="0"/>
          <w:sz w:val="44"/>
          <w:szCs w:val="44"/>
          <w:lang w:val="en-US" w:eastAsia="zh-CN"/>
        </w:rPr>
        <w:t xml:space="preserve">第七讲 </w:t>
      </w:r>
      <w:bookmarkStart w:id="4" w:name="_GoBack"/>
      <w:bookmarkEnd w:id="4"/>
      <w:r>
        <w:rPr>
          <w:rFonts w:hint="eastAsia" w:ascii="方正小标宋简体" w:hAnsi="方正小标宋简体" w:eastAsia="方正小标宋简体" w:cs="方正小标宋简体"/>
          <w:b w:val="0"/>
          <w:bCs w:val="0"/>
          <w:sz w:val="44"/>
          <w:szCs w:val="44"/>
        </w:rPr>
        <w:t>食管心脏电生理诊治室上性心动</w:t>
      </w:r>
    </w:p>
    <w:p w14:paraId="0546B8E3">
      <w:pPr>
        <w:pStyle w:val="8"/>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3080" w:firstLineChars="700"/>
        <w:jc w:val="both"/>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过速的方法与技巧</w:t>
      </w:r>
      <w:bookmarkEnd w:id="0"/>
    </w:p>
    <w:p w14:paraId="7920D92B">
      <w:pPr>
        <w:keepNext w:val="0"/>
        <w:keepLines w:val="0"/>
        <w:pageBreakBefore w:val="0"/>
        <w:widowControl w:val="0"/>
        <w:kinsoku/>
        <w:wordWrap/>
        <w:overflowPunct/>
        <w:topLinePunct w:val="0"/>
        <w:autoSpaceDE/>
        <w:autoSpaceDN/>
        <w:bidi w:val="0"/>
        <w:adjustRightInd/>
        <w:snapToGrid/>
        <w:spacing w:after="160" w:line="590" w:lineRule="exact"/>
        <w:ind w:firstLine="2880" w:firstLineChars="9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福建省立医院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高洁</w:t>
      </w:r>
    </w:p>
    <w:p w14:paraId="12E50F8A">
      <w:pPr>
        <w:pStyle w:val="8"/>
        <w:keepNext w:val="0"/>
        <w:keepLines w:val="0"/>
        <w:pageBreakBefore w:val="0"/>
        <w:widowControl w:val="0"/>
        <w:kinsoku/>
        <w:wordWrap/>
        <w:overflowPunct/>
        <w:topLinePunct w:val="0"/>
        <w:autoSpaceDE/>
        <w:autoSpaceDN/>
        <w:bidi w:val="0"/>
        <w:spacing w:line="590" w:lineRule="exact"/>
        <w:jc w:val="both"/>
        <w:textAlignment w:val="auto"/>
        <w:rPr>
          <w:rFonts w:hint="eastAsia" w:ascii="仿宋_GB2312" w:hAnsi="仿宋_GB2312" w:eastAsia="仿宋_GB2312" w:cs="仿宋_GB2312"/>
          <w:b/>
          <w:bCs/>
          <w:sz w:val="32"/>
          <w:szCs w:val="32"/>
        </w:rPr>
      </w:pPr>
    </w:p>
    <w:p w14:paraId="052F7E56">
      <w:pPr>
        <w:keepNext w:val="0"/>
        <w:keepLines w:val="0"/>
        <w:pageBreakBefore w:val="0"/>
        <w:widowControl w:val="0"/>
        <w:numPr>
          <w:ilvl w:val="0"/>
          <w:numId w:val="0"/>
        </w:numPr>
        <w:kinsoku/>
        <w:wordWrap/>
        <w:overflowPunct/>
        <w:topLinePunct w:val="0"/>
        <w:autoSpaceDE/>
        <w:autoSpaceDN/>
        <w:bidi w:val="0"/>
        <w:spacing w:line="590" w:lineRule="exact"/>
        <w:ind w:left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一、</w:t>
      </w:r>
      <w:r>
        <w:rPr>
          <w:rFonts w:hint="eastAsia" w:ascii="仿宋_GB2312" w:hAnsi="仿宋_GB2312" w:eastAsia="仿宋_GB2312" w:cs="仿宋_GB2312"/>
          <w:b/>
          <w:sz w:val="32"/>
          <w:szCs w:val="32"/>
        </w:rPr>
        <w:t>概述</w:t>
      </w:r>
    </w:p>
    <w:p w14:paraId="2BBEE195">
      <w:pPr>
        <w:keepNext w:val="0"/>
        <w:keepLines w:val="0"/>
        <w:pageBreakBefore w:val="0"/>
        <w:widowControl w:val="0"/>
        <w:kinsoku/>
        <w:wordWrap/>
        <w:overflowPunct/>
        <w:topLinePunct w:val="0"/>
        <w:autoSpaceDE/>
        <w:autoSpaceDN/>
        <w:bidi w:val="0"/>
        <w:adjustRightInd w:val="0"/>
        <w:snapToGrid w:val="0"/>
        <w:spacing w:line="59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室上性心动过速（SVT）指激动起源于希氏束分叉以上的心动过速。传统上，SVT用于描述除心房颤动及室性心动过速以外的各种心动过速，包括不适当的窦性心动过速，房性心动过速（AT，包括局灶性和多灶性），大折返性AT（包括典型的房扑），交界性心动过速，房室结折返性心动过速（AVNRT）以及房室折返性心动过速（AVRT）。阵发性室上性心动过速（PSVT）是一种临床综合征，特征在于突然发作和终止的规律性的快速性心动过速，主要见于房室结折返性心动过速或房室折返性心动过速以及房内折返性心动过速（不常见）。PSVT代表SVT的子集。近年来经临床电生理学研究认为大多数的阵发性室上性心动过速由折返激动所形成，只有少部分系自律性增强及触发活动引起。折返机制引起的PSVT可利用食道调搏的超速抑制来终止。</w:t>
      </w:r>
    </w:p>
    <w:p w14:paraId="649D49CA">
      <w:pPr>
        <w:keepNext w:val="0"/>
        <w:keepLines w:val="0"/>
        <w:pageBreakBefore w:val="0"/>
        <w:widowControl w:val="0"/>
        <w:kinsoku/>
        <w:wordWrap/>
        <w:overflowPunct/>
        <w:topLinePunct w:val="0"/>
        <w:autoSpaceDE/>
        <w:autoSpaceDN/>
        <w:bidi w:val="0"/>
        <w:adjustRightInd w:val="0"/>
        <w:snapToGrid w:val="0"/>
        <w:spacing w:line="590" w:lineRule="exact"/>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食管心脏电生理检查是一项无创的临床心脏电生理技术，简单易行，安全可靠。随着近年来食管法心脏电生理技术不断创新和探索，该项技术在临床应用更趋成熟。为了规范该项技术的操作与检查流程、评估临床意义，我科作为“无创心脏电生理”（福建省培训中心）参考中国心电学会无创心脏电生理专业委员会制定的《食管心脏电生理中国专家共识》、《食管心脏电生理检查标准化操作建议》及《浙江省食管法心脏电生理技术操作与诊断规范》，结合具体应用情况并经过多次讨论后，制定了食管法心脏电生理检查管理制度、标准操作规程与诊断规范，确保食管法心脏电生理检查操作正确、规范，本文主要介绍食管心脏电生理检查诊治阵发性室上性心动过速的方法与技巧，以期在基层广泛推广应用。</w:t>
      </w:r>
    </w:p>
    <w:p w14:paraId="0C296382">
      <w:pPr>
        <w:numPr>
          <w:ilvl w:val="0"/>
          <w:numId w:val="0"/>
        </w:numPr>
        <w:adjustRightInd w:val="0"/>
        <w:snapToGrid w:val="0"/>
        <w:spacing w:line="360" w:lineRule="auto"/>
        <w:ind w:left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二、</w:t>
      </w:r>
      <w:r>
        <w:rPr>
          <w:rFonts w:hint="eastAsia" w:ascii="仿宋_GB2312" w:hAnsi="仿宋_GB2312" w:eastAsia="仿宋_GB2312" w:cs="仿宋_GB2312"/>
          <w:b/>
          <w:sz w:val="32"/>
          <w:szCs w:val="32"/>
        </w:rPr>
        <w:t>标准操作规程及应用技巧</w:t>
      </w:r>
    </w:p>
    <w:p w14:paraId="201C2A34">
      <w:pPr>
        <w:widowControl/>
        <w:numPr>
          <w:ilvl w:val="0"/>
          <w:numId w:val="1"/>
        </w:numPr>
        <w:tabs>
          <w:tab w:val="left" w:pos="0"/>
        </w:tabs>
        <w:adjustRightInd w:val="0"/>
        <w:snapToGrid w:val="0"/>
        <w:spacing w:line="360" w:lineRule="auto"/>
        <w:ind w:right="571" w:rightChars="317"/>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操作医师必须熟悉食管心脏电生理检查流程，有在相应培训中心主任或主治以上级别培训导师指导下完成检查至少50例经验。</w:t>
      </w:r>
    </w:p>
    <w:p w14:paraId="738BCD8D">
      <w:pPr>
        <w:numPr>
          <w:ilvl w:val="0"/>
          <w:numId w:val="1"/>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检查前准备</w:t>
      </w:r>
    </w:p>
    <w:p w14:paraId="095B8E92">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了解相关临床资料：核对患者信息；仔细询问病史，了解检查目的，排除禁忌证；如无特殊情况，检查至少在餐后2小时以上进行，相关抗心律失常药物一般应停用3天；</w:t>
      </w:r>
    </w:p>
    <w:p w14:paraId="4B21EFF1">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签署知情同意书：检查前与患者进行谈话，告知患者检查/治疗的目的及检查过程中会出现的不适、并发症、意外风险及防范措施，并签署知情同意书；</w:t>
      </w:r>
    </w:p>
    <w:p w14:paraId="26ECF411">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根据病史和12导联心电图评估受试者情况，必要时检查前预置静脉通道，以防意外；</w:t>
      </w:r>
    </w:p>
    <w:p w14:paraId="5200864B">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每次检查前开机检测仪器是否正常；抢救设备与急救药品必须备用齐全；</w:t>
      </w:r>
    </w:p>
    <w:p w14:paraId="42952706">
      <w:pPr>
        <w:numPr>
          <w:ilvl w:val="0"/>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推荐使用一次性食管电极导管，防止交叉感染、降低起搏阈值，提高记录食管导联心电图的准确性。</w:t>
      </w:r>
    </w:p>
    <w:p w14:paraId="6F06EEEA">
      <w:pPr>
        <w:numPr>
          <w:ilvl w:val="0"/>
          <w:numId w:val="1"/>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插管</w:t>
      </w:r>
    </w:p>
    <w:p w14:paraId="05864818">
      <w:pPr>
        <w:numPr>
          <w:ilvl w:val="1"/>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向受试者详细解释配合方法；</w:t>
      </w:r>
    </w:p>
    <w:p w14:paraId="0B887459">
      <w:pPr>
        <w:numPr>
          <w:ilvl w:val="1"/>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通常经鼻腔先插至咽喉部，大概15~20cm，当导管前端有阻力时，嘱受试者做吞咽动作，轻轻推送即可顺利通过咽部；必要时旋转导管头部方向，有助于电极导管进入食管；</w:t>
      </w:r>
    </w:p>
    <w:p w14:paraId="299B85EA">
      <w:pPr>
        <w:numPr>
          <w:ilvl w:val="1"/>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注意手法须轻柔，减少插管对咽喉部的刺激；如果鼻腔插入有困难，可以改用口腔插入进行检查；</w:t>
      </w:r>
    </w:p>
    <w:p w14:paraId="7CCCC51A">
      <w:pPr>
        <w:numPr>
          <w:ilvl w:val="1"/>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电极定位方法：经鼻腔插入食管的深度可根据公式计算：鼻外孔至食管电极远端距离(cm)=（受试者身高+200）÷10±2；根据食管导联心电图定位：根据食管导联心房波(A)、心室波(V)大小和A/V 比例进一步定位；</w:t>
      </w:r>
    </w:p>
    <w:p w14:paraId="56B28170">
      <w:pPr>
        <w:numPr>
          <w:ilvl w:val="1"/>
          <w:numId w:val="2"/>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记录插管深度。</w:t>
      </w:r>
    </w:p>
    <w:p w14:paraId="6C94F534">
      <w:pPr>
        <w:numPr>
          <w:ilvl w:val="0"/>
          <w:numId w:val="1"/>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终止心动过速：心房超速刺激可终止折返机制引起的心动过速。</w:t>
      </w:r>
    </w:p>
    <w:p w14:paraId="7AB189AE">
      <w:pPr>
        <w:tabs>
          <w:tab w:val="left" w:pos="1259"/>
        </w:tabs>
        <w:spacing w:line="360" w:lineRule="auto"/>
        <w:ind w:left="8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 采用心房超速刺激终止自发的心动过速  不能确定刺激阈值时，先根据食管导联P波形态确定导管位置，然后用16～18 V的电压开始刺激，根据刺激时的反应适当增减刺激电压，调整电极导管位置。对房室结折返性心动过速、房室折返性心动过速及房性心动过速推荐使用比自身心动过速频率快20%～30%的3～5次S1S1定数刺激（图1），如不能终止，可再次发放，也可适当调整刺激频率及次数。每次发放的刺激脉冲次数不宜超出10次，防止心动过速终止后再次被诱发。</w:t>
      </w:r>
    </w:p>
    <w:p w14:paraId="3A7BA802">
      <w:pPr>
        <w:tabs>
          <w:tab w:val="left" w:pos="1259"/>
        </w:tabs>
        <w:spacing w:line="360" w:lineRule="auto"/>
        <w:ind w:firstLine="12" w:firstLineChars="5"/>
        <w:jc w:val="center"/>
        <w:rPr>
          <w:rFonts w:ascii="宋体" w:hAnsi="宋体" w:cs="宋体"/>
          <w:sz w:val="24"/>
          <w:szCs w:val="24"/>
        </w:rPr>
      </w:pPr>
      <w:r>
        <w:rPr>
          <w:rFonts w:ascii="宋体" w:hAnsi="宋体" w:cs="宋体"/>
          <w:sz w:val="24"/>
          <w:szCs w:val="24"/>
        </w:rPr>
        <w:drawing>
          <wp:inline distT="0" distB="0" distL="0" distR="0">
            <wp:extent cx="5759450" cy="3846830"/>
            <wp:effectExtent l="0" t="0" r="6350" b="1270"/>
            <wp:docPr id="665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61" name="图片 1"/>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5759450" cy="3846830"/>
                    </a:xfrm>
                    <a:prstGeom prst="rect">
                      <a:avLst/>
                    </a:prstGeom>
                    <a:noFill/>
                    <a:ln>
                      <a:noFill/>
                    </a:ln>
                  </pic:spPr>
                </pic:pic>
              </a:graphicData>
            </a:graphic>
          </wp:inline>
        </w:drawing>
      </w:r>
    </w:p>
    <w:p w14:paraId="597142B3">
      <w:pPr>
        <w:tabs>
          <w:tab w:val="left" w:pos="1259"/>
        </w:tabs>
        <w:spacing w:line="360" w:lineRule="auto"/>
        <w:ind w:left="839"/>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图1定数S</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S</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：220bpm超速刺激终止心动过速</w:t>
      </w:r>
    </w:p>
    <w:p w14:paraId="1D1BA8AD">
      <w:pPr>
        <w:tabs>
          <w:tab w:val="left" w:pos="1259"/>
        </w:tabs>
        <w:spacing w:line="360" w:lineRule="auto"/>
        <w:ind w:left="1019" w:leftChars="56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4.1.1房室结折返性心动过速的电生理特点，以慢快型房室结折返性心动过速为例：食管导联能清楚显示逆行P´波，逆行P´波多在Ⅱ、Ⅲ、aVF导联倒置，V1导联呈负正双相，RP´＜P´R，RP´＜70ms；常由心房早搏诱发，心动过速诱发时可见跳跃现象（S-R突然延长 ≥60ms），电刺激能重复诱发和终止；心动过速发作时，大部分逆行P´波埋于QRS波群中无法显现，近1/3出现在QRS波终末，在下壁导联形成假s波，在V1导联形成假r’波，极少数出现在QRS波前，形成假q波；心率多为150-200次/分，少数情况下可高达250次/分或低于100次/分，节律规整；折返环路限于房室结内，发生各类房室阻滞时心动过速不会终止。2:1房室阻滞时心室率成倍减慢，并在两次QRS波间显示P’波，P’P’间期与阻滞前RR间期一致（图2）；QRS波群形态多正常，很少出现室内差异传导，一旦发生不影响心动周期的长度，心率快时可发生电交替。</w:t>
      </w:r>
    </w:p>
    <w:p w14:paraId="7383F046">
      <w:pPr>
        <w:tabs>
          <w:tab w:val="left" w:pos="1259"/>
        </w:tabs>
        <w:spacing w:line="360" w:lineRule="auto"/>
        <w:ind w:left="1018" w:leftChars="158" w:hanging="734" w:hangingChars="306"/>
        <w:jc w:val="center"/>
        <w:rPr>
          <w:rFonts w:ascii="宋体" w:hAnsi="宋体" w:cs="宋体"/>
          <w:sz w:val="24"/>
          <w:szCs w:val="24"/>
        </w:rPr>
      </w:pPr>
      <w:r>
        <w:rPr>
          <w:rFonts w:ascii="宋体" w:hAnsi="宋体" w:cs="宋体"/>
          <w:sz w:val="24"/>
          <w:szCs w:val="24"/>
        </w:rPr>
        <w:drawing>
          <wp:inline distT="0" distB="0" distL="0" distR="0">
            <wp:extent cx="5759450" cy="3846195"/>
            <wp:effectExtent l="0" t="0" r="6350" b="1905"/>
            <wp:docPr id="645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13" name="图片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759450" cy="3846195"/>
                    </a:xfrm>
                    <a:prstGeom prst="rect">
                      <a:avLst/>
                    </a:prstGeom>
                    <a:noFill/>
                    <a:ln>
                      <a:noFill/>
                    </a:ln>
                  </pic:spPr>
                </pic:pic>
              </a:graphicData>
            </a:graphic>
          </wp:inline>
        </w:drawing>
      </w:r>
    </w:p>
    <w:p w14:paraId="0ACC597C">
      <w:pPr>
        <w:tabs>
          <w:tab w:val="left" w:pos="1259"/>
        </w:tabs>
        <w:spacing w:line="360" w:lineRule="auto"/>
        <w:ind w:left="926" w:leftChars="158" w:hanging="642" w:hangingChars="306"/>
        <w:jc w:val="center"/>
        <w:rPr>
          <w:rFonts w:ascii="宋体" w:hAnsi="宋体" w:cs="宋体"/>
          <w:sz w:val="21"/>
          <w:szCs w:val="21"/>
        </w:rPr>
      </w:pPr>
      <w:r>
        <w:rPr>
          <w:rFonts w:hint="eastAsia" w:ascii="宋体" w:hAnsi="宋体" w:cs="宋体"/>
          <w:sz w:val="21"/>
          <w:szCs w:val="21"/>
        </w:rPr>
        <w:t>图2</w:t>
      </w:r>
      <w:r>
        <w:rPr>
          <w:rFonts w:ascii="宋体" w:hAnsi="宋体" w:cs="宋体"/>
          <w:sz w:val="21"/>
          <w:szCs w:val="21"/>
        </w:rPr>
        <w:t xml:space="preserve"> </w:t>
      </w:r>
      <w:r>
        <w:rPr>
          <w:rFonts w:hint="eastAsia" w:ascii="宋体" w:hAnsi="宋体" w:cs="宋体"/>
          <w:sz w:val="21"/>
          <w:szCs w:val="21"/>
        </w:rPr>
        <w:t>定数</w:t>
      </w:r>
      <w:r>
        <w:rPr>
          <w:rFonts w:ascii="宋体" w:hAnsi="宋体" w:cs="宋体"/>
          <w:sz w:val="21"/>
          <w:szCs w:val="21"/>
        </w:rPr>
        <w:t>S</w:t>
      </w:r>
      <w:r>
        <w:rPr>
          <w:rFonts w:ascii="宋体" w:hAnsi="宋体" w:cs="宋体"/>
          <w:sz w:val="21"/>
          <w:szCs w:val="21"/>
          <w:vertAlign w:val="subscript"/>
        </w:rPr>
        <w:t>1</w:t>
      </w:r>
      <w:r>
        <w:rPr>
          <w:rFonts w:ascii="宋体" w:hAnsi="宋体" w:cs="宋体"/>
          <w:sz w:val="21"/>
          <w:szCs w:val="21"/>
        </w:rPr>
        <w:t>S</w:t>
      </w:r>
      <w:r>
        <w:rPr>
          <w:rFonts w:ascii="宋体" w:hAnsi="宋体" w:cs="宋体"/>
          <w:sz w:val="21"/>
          <w:szCs w:val="21"/>
          <w:vertAlign w:val="subscript"/>
        </w:rPr>
        <w:t>1</w:t>
      </w:r>
      <w:r>
        <w:rPr>
          <w:rFonts w:hint="eastAsia" w:ascii="宋体" w:hAnsi="宋体" w:cs="宋体"/>
          <w:sz w:val="21"/>
          <w:szCs w:val="21"/>
        </w:rPr>
        <w:t xml:space="preserve"> 刺激诱发慢快型AVNRT，呈2:1下传心室，心动过速不终止</w:t>
      </w:r>
    </w:p>
    <w:p w14:paraId="298FBA69">
      <w:pPr>
        <w:tabs>
          <w:tab w:val="left" w:pos="1259"/>
        </w:tabs>
        <w:spacing w:line="360" w:lineRule="auto"/>
        <w:ind w:left="1019" w:leftChars="56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4.1.2房室折返性心动过速的电生理特点，以顺向型房室折返性心动过速为例（逆向型房室折返性心动过速多为宽QRS波心动过速）：常规心电图可表现为（显示性）或不表现（隐匿性）为预激；心动过速常突发突止，频率130-250次/分，电刺激能重复诱发和终止；心动过速发生时，无S2R延长，QRS波呈室上型；逆行P´波在QRS波之后，RP´＜P´R，RP´＜1/2RR，RP´＞70ms（通常≥100ms)；当心动过速时，若伴有旁道同侧功能性束支阻滞，RR延长＞35ms；旁道对侧阻滞时RR无变化（Coumel定律：由法国著名心脏电生理学家Coumel于1973年首次提出而得名。其表现为预激综合征患者伴发顺向型房室折返性心动过速时，如发生了房室旁道同侧的功能性束支传导阻滞，激动便沿对侧束支下传，折返环路增大致折返激动时间延长35ms以上，造成心动过速周期长度延长而心率减慢的现象。临床上常在顺向型AVRT伴功能性束支传导阻滞时，观察心动过速周长有无延长来判断房室旁道的部位）。</w:t>
      </w:r>
    </w:p>
    <w:p w14:paraId="09EF24FD">
      <w:pPr>
        <w:tabs>
          <w:tab w:val="left" w:pos="1259"/>
        </w:tabs>
        <w:spacing w:line="360" w:lineRule="auto"/>
        <w:ind w:left="8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 终止心房扑动  终止心房扑动前应充分做好临床风险评估（血液动力学稳定情况，抗心律失常药物，血栓风险），前期充分行抗凝/抗栓治疗或行经食管超声检查确定无左心房附壁血栓。另外前期应行窦房结功能评估，以避免终止心房扑动过程中发生血栓脱落或窦性停搏等并发症。超速刺激的频率可选择在350～500次/min，刺激时间不宜过长，根据心房扑动波频率加50次/min开始，每次递增50次/min，直至心房扑动终止。部分心房扑动在超速刺激治疗后转为心房颤动并有望在数秒内恢复窦性心律（适用于心房扑动的发作时间＜48 h或者经食管心脏超声显示无心房血栓者）。超速刺激终止典型（峡部依赖性）心房扑动成功率70%～80%，非典型心房扑动的终止成功率非常低。</w:t>
      </w:r>
    </w:p>
    <w:p w14:paraId="4345F856">
      <w:pPr>
        <w:tabs>
          <w:tab w:val="left" w:pos="1259"/>
        </w:tabs>
        <w:spacing w:line="360" w:lineRule="auto"/>
        <w:ind w:left="8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4.3终止分支折返型室性心动过速   分支折返型室性心动过速电生理特点：食道导联可见明显房室分离，心房波频率慢于心室波；左后分支起源室性心动过速体表心电图可见右束支阻滞图形合并肢体导联左前分支阻滞图形（即肢体导联上符合：Ⅱ、Ⅲ、aVF呈rS型， S</w:t>
      </w:r>
      <w:r>
        <w:rPr>
          <w:rFonts w:hint="eastAsia" w:ascii="仿宋_GB2312" w:hAnsi="仿宋_GB2312" w:eastAsia="仿宋_GB2312" w:cs="仿宋_GB2312"/>
          <w:sz w:val="32"/>
          <w:szCs w:val="32"/>
          <w:vertAlign w:val="subscript"/>
        </w:rPr>
        <w:t>Ⅲ</w:t>
      </w:r>
      <w:r>
        <w:rPr>
          <w:rFonts w:hint="eastAsia" w:ascii="仿宋_GB2312" w:hAnsi="仿宋_GB2312" w:eastAsia="仿宋_GB2312" w:cs="仿宋_GB2312"/>
          <w:sz w:val="32"/>
          <w:szCs w:val="32"/>
        </w:rPr>
        <w:t>&gt;S</w:t>
      </w:r>
      <w:r>
        <w:rPr>
          <w:rFonts w:hint="eastAsia" w:ascii="仿宋_GB2312" w:hAnsi="仿宋_GB2312" w:eastAsia="仿宋_GB2312" w:cs="仿宋_GB2312"/>
          <w:sz w:val="32"/>
          <w:szCs w:val="32"/>
          <w:vertAlign w:val="subscript"/>
        </w:rPr>
        <w:t>Ⅱ</w:t>
      </w:r>
      <w:r>
        <w:rPr>
          <w:rFonts w:hint="eastAsia" w:ascii="仿宋_GB2312" w:hAnsi="仿宋_GB2312" w:eastAsia="仿宋_GB2312" w:cs="仿宋_GB2312"/>
          <w:sz w:val="32"/>
          <w:szCs w:val="32"/>
        </w:rPr>
        <w:t>；I、aVL呈qR型（或R型），R</w:t>
      </w:r>
      <w:r>
        <w:rPr>
          <w:rFonts w:hint="eastAsia" w:ascii="仿宋_GB2312" w:hAnsi="仿宋_GB2312" w:eastAsia="仿宋_GB2312" w:cs="仿宋_GB2312"/>
          <w:sz w:val="32"/>
          <w:szCs w:val="32"/>
          <w:vertAlign w:val="subscript"/>
        </w:rPr>
        <w:t>aVL</w:t>
      </w:r>
      <w:r>
        <w:rPr>
          <w:rFonts w:hint="eastAsia" w:ascii="仿宋_GB2312" w:hAnsi="仿宋_GB2312" w:eastAsia="仿宋_GB2312" w:cs="仿宋_GB2312"/>
          <w:sz w:val="32"/>
          <w:szCs w:val="32"/>
        </w:rPr>
        <w:t>波&gt; R</w:t>
      </w:r>
      <w:r>
        <w:rPr>
          <w:rFonts w:hint="eastAsia" w:ascii="仿宋_GB2312" w:hAnsi="仿宋_GB2312" w:eastAsia="仿宋_GB2312" w:cs="仿宋_GB2312"/>
          <w:sz w:val="32"/>
          <w:szCs w:val="32"/>
          <w:vertAlign w:val="subscript"/>
        </w:rPr>
        <w:t>I</w:t>
      </w:r>
      <w:r>
        <w:rPr>
          <w:rFonts w:hint="eastAsia" w:ascii="仿宋_GB2312" w:hAnsi="仿宋_GB2312" w:eastAsia="仿宋_GB2312" w:cs="仿宋_GB2312"/>
          <w:sz w:val="32"/>
          <w:szCs w:val="32"/>
        </w:rPr>
        <w:t>波，并同时&gt; R</w:t>
      </w:r>
      <w:r>
        <w:rPr>
          <w:rFonts w:hint="eastAsia" w:ascii="仿宋_GB2312" w:hAnsi="仿宋_GB2312" w:eastAsia="仿宋_GB2312" w:cs="仿宋_GB2312"/>
          <w:sz w:val="32"/>
          <w:szCs w:val="32"/>
          <w:vertAlign w:val="subscript"/>
        </w:rPr>
        <w:t>aVR</w:t>
      </w:r>
      <w:r>
        <w:rPr>
          <w:rFonts w:hint="eastAsia" w:ascii="仿宋_GB2312" w:hAnsi="仿宋_GB2312" w:eastAsia="仿宋_GB2312" w:cs="仿宋_GB2312"/>
          <w:sz w:val="32"/>
          <w:szCs w:val="32"/>
        </w:rPr>
        <w:t>波；电轴左偏≥-45度）；左前分支起源室性心动过速体表心电图可见右束支阻滞图形合并肢体导联左后分支阻滞图形。应用食管心房超速刺激可终止部分分支折返型室性心动过速。当患者房室结顺向不应期比较短，传导功能好时，心房超速刺激才能通过房室结顺传心室并终止心动过速。终止时应选择比心动过速略快的心房刺激频率，避免刺激频率过快发生房室传导延缓或阻滞，保证心房激动能通过房室结1∶1（或适时）顺传至心室，起到对心室超速抑制作用达到终止心动过速的目的。当反复不能终止室性心动过速时，需要结合临床，应用药物等其他临床措施处理。</w:t>
      </w:r>
    </w:p>
    <w:p w14:paraId="325A7DD4">
      <w:pPr>
        <w:numPr>
          <w:ilvl w:val="0"/>
          <w:numId w:val="1"/>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食管法心脏电生理诊治完毕后，需仔细整理和详细分析记录结果并做出诊断</w:t>
      </w:r>
    </w:p>
    <w:p w14:paraId="4908EFAC">
      <w:pPr>
        <w:numPr>
          <w:ilvl w:val="2"/>
          <w:numId w:val="3"/>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必须体现在报告中的内容： (1)一般情况:受试者姓名、性别、年龄、病历号及就诊病史等。(2)心脏电生理检查前的基础心电图，如心律、心率、房室传导等状况。 (3)心脏不应期:检查中各部位出现的电生理与心电图变化均与不应期有关，应分别描述心脏各部位的有效不应期。因不应期与前心动周长密切相关，在出具报告时还应注明测量不应期的刺激方式及基础刺激周长。描述时基础刺激在先，期前刺激偶联间期在后。如房室交界区有效不应期 700ms/350ms。  </w:t>
      </w:r>
    </w:p>
    <w:p w14:paraId="2D06D106">
      <w:pPr>
        <w:numPr>
          <w:ilvl w:val="2"/>
          <w:numId w:val="3"/>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心脏各部位功能检测 (1)窦房结功能:SNRT、SACT。受检时基础心律情况。(2)房室交界区传导功能:房室交界区不应期、房室交界区文氏阻滞点、2∶1 阻滞点。(3)房室结双径路功能:快径路不应期，慢径路不应期。(4)显性房室旁道功能:显性旁道顺传不应期。  </w:t>
      </w:r>
    </w:p>
    <w:p w14:paraId="39789D82">
      <w:pPr>
        <w:numPr>
          <w:ilvl w:val="2"/>
          <w:numId w:val="3"/>
        </w:numPr>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有心律失常或心动过速患者的报告内容</w:t>
      </w:r>
    </w:p>
    <w:p w14:paraId="096BDFFD">
      <w:pPr>
        <w:numPr>
          <w:ilvl w:val="3"/>
          <w:numId w:val="4"/>
        </w:numPr>
        <w:tabs>
          <w:tab w:val="left" w:pos="0"/>
        </w:tabs>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V1与食管导联同步记录时可了解到心房激动顺序及房室传导关系：(1)房间传导阻滞；(2)房性异位激动及心动过速的初步定位；(3)房室折返性心动过速与房室结折返性心动过速的鉴别；(4)旁道的初步定位;(5)宽QRS 波群心动过速的鉴别诊断。</w:t>
      </w:r>
    </w:p>
    <w:p w14:paraId="6673FFC4">
      <w:pPr>
        <w:numPr>
          <w:ilvl w:val="3"/>
          <w:numId w:val="4"/>
        </w:numPr>
        <w:tabs>
          <w:tab w:val="left" w:pos="0"/>
        </w:tabs>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详细描述心动过速的心脏电生理与心电图特征并诊断心动过速的类型：(1)窦房折返性心动过速；(2)房内折返性心动过速；(3)心房扑动或心房颤动；(4)房室结折返性心动过速；(5)房室折返性心动过速:根据顺向型房室折返性心动过速时食管导联与V1 导联的 RP- 间期及体表导联 P- 波的形态对隐匿性房室旁道进行初步定位；(6)室性(束支或分支折返性)心动过速；(7)描述诱发与终止心动过速的方式以及窗口，并注明刺激方式与基础刺激周长。</w:t>
      </w:r>
    </w:p>
    <w:p w14:paraId="5492CF2F">
      <w:pPr>
        <w:numPr>
          <w:ilvl w:val="3"/>
          <w:numId w:val="4"/>
        </w:numPr>
        <w:tabs>
          <w:tab w:val="left" w:pos="0"/>
        </w:tabs>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根据上述内容详细描述发生的电生理特征，在电生理诊断中各部位功能应从窦房结开始自上而下顺序排列，应注明诱发出的心动过速类型，诱发、终止窗口及刺激方式，并附典型图。 </w:t>
      </w:r>
    </w:p>
    <w:p w14:paraId="26B46FF8">
      <w:pPr>
        <w:numPr>
          <w:ilvl w:val="0"/>
          <w:numId w:val="0"/>
        </w:numPr>
        <w:adjustRightInd w:val="0"/>
        <w:snapToGrid w:val="0"/>
        <w:spacing w:line="360" w:lineRule="auto"/>
        <w:ind w:left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三、</w:t>
      </w:r>
      <w:r>
        <w:rPr>
          <w:rFonts w:hint="eastAsia" w:ascii="仿宋_GB2312" w:hAnsi="仿宋_GB2312" w:eastAsia="仿宋_GB2312" w:cs="仿宋_GB2312"/>
          <w:b/>
          <w:sz w:val="32"/>
          <w:szCs w:val="32"/>
        </w:rPr>
        <w:t>适应症及注意事项</w:t>
      </w:r>
    </w:p>
    <w:p w14:paraId="0CAFA1D8">
      <w:pPr>
        <w:numPr>
          <w:ilvl w:val="5"/>
          <w:numId w:val="5"/>
        </w:numPr>
        <w:tabs>
          <w:tab w:val="left" w:pos="851"/>
        </w:tabs>
        <w:adjustRightInd w:val="0"/>
        <w:snapToGrid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适应症：a.窦性心动过缓，原因不明的黑矇、晕厥患者，进行窦房结功能和房室结功能的评估；b.阵发性心悸，发作呈突发突止，未能记录到发作时心电图的患者，了解心悸的原因；c.心电图记录到阵发性室上性心动过速，进行电生理检查以明确心动过速的类型与机制，评估室上性心动过速的临床意义；d.对显性预激综合征患者，了解房室旁道的电生理特性和诱发心动过速，检出高危房室旁道；e.射频消融术前筛选及术后判断疗效等；f.终止室上性心动过速（可以安全应用于终止妊娠妇女及使用药物无效的急诊室上速）；评价心律失常风险；g复制某些心电现象，研究其形成机制，对复杂心律失常进行鉴别诊断。</w:t>
      </w:r>
    </w:p>
    <w:p w14:paraId="1EE9B870">
      <w:pPr>
        <w:numPr>
          <w:ilvl w:val="5"/>
          <w:numId w:val="5"/>
        </w:numPr>
        <w:tabs>
          <w:tab w:val="left" w:pos="851"/>
        </w:tabs>
        <w:adjustRightInd w:val="0"/>
        <w:snapToGrid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人员及医疗保障 参与食管法心脏电生理检查操作者均进过规范培训，熟悉突发事件的处理预案。检查室备有抢救车、供氧及吸引器、简易呼吸器等抢救设备，急救药品齐备；仪器设备及药品/器械定期检查、清点，以备随时使用；急诊抢救室随时准备在出现严重不良事件时对患者进行抢救。在检查过程中，发生任何不良事件时操作者应立即对患者采取适当的治疗措施并记录。</w:t>
      </w:r>
    </w:p>
    <w:p w14:paraId="075552F8">
      <w:pPr>
        <w:numPr>
          <w:ilvl w:val="5"/>
          <w:numId w:val="5"/>
        </w:numPr>
        <w:tabs>
          <w:tab w:val="left" w:pos="851"/>
        </w:tabs>
        <w:adjustRightInd w:val="0"/>
        <w:snapToGrid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检查过程中出现恶心、呕吐、咳嗽、咽部不适、膈肌刺激等可调整食道电极导管位置，调整检测阈值。  </w:t>
      </w:r>
    </w:p>
    <w:p w14:paraId="6F5CA2FF">
      <w:pPr>
        <w:numPr>
          <w:ilvl w:val="5"/>
          <w:numId w:val="5"/>
        </w:numPr>
        <w:tabs>
          <w:tab w:val="left" w:pos="851"/>
        </w:tabs>
        <w:adjustRightInd w:val="0"/>
        <w:snapToGrid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心房颤动、扑动，立即停止检查，急性房颤因心室率过快而诱发心绞痛或心力衰竭时，首选体外同步直流电转复。对无血液动力学障碍者，可监测心率并送急诊观察室观察；诱发室性心动过速，若为特发性，可尝试超速抑制，若室速伴血流动力学障碍或出现室扑室颤等各种恶性心律失常立即行电除颤，同时做好心肺复苏准备；若出现大于3秒的长间歇，应立即行保护性起搏。</w:t>
      </w:r>
    </w:p>
    <w:p w14:paraId="4FE60599">
      <w:pPr>
        <w:numPr>
          <w:ilvl w:val="5"/>
          <w:numId w:val="5"/>
        </w:numPr>
        <w:tabs>
          <w:tab w:val="left" w:pos="851"/>
        </w:tabs>
        <w:adjustRightInd w:val="0"/>
        <w:snapToGrid w:val="0"/>
        <w:spacing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诱发迷走神经反射性心率减慢、血压降低等心脏意外、脑血管意外和呼吸、心跳骤停，甚至危及生命立即启动抢救流程。</w:t>
      </w:r>
    </w:p>
    <w:p w14:paraId="1B3D6485">
      <w:pPr>
        <w:tabs>
          <w:tab w:val="left" w:pos="851"/>
        </w:tabs>
        <w:adjustRightInd w:val="0"/>
        <w:snapToGrid w:val="0"/>
        <w:spacing w:line="360" w:lineRule="auto"/>
        <w:ind w:left="420"/>
        <w:jc w:val="left"/>
        <w:rPr>
          <w:rFonts w:hint="eastAsia" w:ascii="仿宋_GB2312" w:hAnsi="仿宋_GB2312" w:eastAsia="仿宋_GB2312" w:cs="仿宋_GB2312"/>
          <w:sz w:val="32"/>
          <w:szCs w:val="32"/>
        </w:rPr>
      </w:pPr>
    </w:p>
    <w:p w14:paraId="473B9F90">
      <w:pPr>
        <w:tabs>
          <w:tab w:val="left" w:pos="851"/>
        </w:tabs>
        <w:adjustRightInd w:val="0"/>
        <w:snapToGrid w:val="0"/>
        <w:spacing w:line="360" w:lineRule="auto"/>
        <w:ind w:left="420"/>
        <w:jc w:val="left"/>
        <w:rPr>
          <w:rFonts w:hint="eastAsia" w:ascii="仿宋_GB2312" w:hAnsi="仿宋_GB2312" w:eastAsia="仿宋_GB2312" w:cs="仿宋_GB2312"/>
          <w:sz w:val="32"/>
          <w:szCs w:val="32"/>
        </w:rPr>
      </w:pPr>
    </w:p>
    <w:p w14:paraId="389C222C">
      <w:pPr>
        <w:tabs>
          <w:tab w:val="left" w:pos="851"/>
        </w:tabs>
        <w:adjustRightInd w:val="0"/>
        <w:snapToGrid w:val="0"/>
        <w:spacing w:line="360" w:lineRule="auto"/>
        <w:ind w:left="42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w:t>
      </w:r>
      <w:r>
        <w:rPr>
          <w:rFonts w:hint="eastAsia" w:ascii="仿宋_GB2312" w:hAnsi="仿宋_GB2312" w:eastAsia="仿宋_GB2312" w:cs="仿宋_GB2312"/>
          <w:b/>
          <w:bCs/>
          <w:sz w:val="32"/>
          <w:szCs w:val="32"/>
          <w:lang w:eastAsia="zh-CN"/>
        </w:rPr>
        <w:t>单项</w:t>
      </w:r>
      <w:r>
        <w:rPr>
          <w:rFonts w:hint="eastAsia" w:ascii="仿宋_GB2312" w:hAnsi="仿宋_GB2312" w:eastAsia="仿宋_GB2312" w:cs="仿宋_GB2312"/>
          <w:b/>
          <w:bCs/>
          <w:sz w:val="32"/>
          <w:szCs w:val="32"/>
        </w:rPr>
        <w:t>选择题：</w:t>
      </w:r>
    </w:p>
    <w:p w14:paraId="03F3E868">
      <w:pPr>
        <w:tabs>
          <w:tab w:val="left" w:pos="851"/>
        </w:tabs>
        <w:adjustRightInd w:val="0"/>
        <w:snapToGrid w:val="0"/>
        <w:spacing w:line="360" w:lineRule="auto"/>
        <w:ind w:left="42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1、以下分类不属于室上性心动过速的是：</w:t>
      </w:r>
    </w:p>
    <w:p w14:paraId="73558A8A">
      <w:pPr>
        <w:pStyle w:val="19"/>
        <w:numPr>
          <w:ilvl w:val="0"/>
          <w:numId w:val="6"/>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不适当的窦性心动过速</w:t>
      </w:r>
    </w:p>
    <w:p w14:paraId="0616079C">
      <w:pPr>
        <w:pStyle w:val="19"/>
        <w:numPr>
          <w:ilvl w:val="0"/>
          <w:numId w:val="6"/>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房性心动过速</w:t>
      </w:r>
    </w:p>
    <w:p w14:paraId="0764F169">
      <w:pPr>
        <w:pStyle w:val="19"/>
        <w:numPr>
          <w:ilvl w:val="0"/>
          <w:numId w:val="6"/>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房室结折返性心动过速</w:t>
      </w:r>
    </w:p>
    <w:p w14:paraId="34AA634F">
      <w:pPr>
        <w:pStyle w:val="19"/>
        <w:numPr>
          <w:ilvl w:val="0"/>
          <w:numId w:val="6"/>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房室折返性心动过速</w:t>
      </w:r>
    </w:p>
    <w:p w14:paraId="274C5EE5">
      <w:pPr>
        <w:pStyle w:val="19"/>
        <w:numPr>
          <w:ilvl w:val="0"/>
          <w:numId w:val="6"/>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心房颤动</w:t>
      </w:r>
    </w:p>
    <w:p w14:paraId="393BC873">
      <w:pPr>
        <w:tabs>
          <w:tab w:val="left" w:pos="851"/>
        </w:tabs>
        <w:adjustRightInd w:val="0"/>
        <w:snapToGrid w:val="0"/>
        <w:spacing w:line="360" w:lineRule="auto"/>
        <w:ind w:left="42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2、以下关于食道调搏前准备错误的是：</w:t>
      </w:r>
    </w:p>
    <w:p w14:paraId="58CAC152">
      <w:pPr>
        <w:pStyle w:val="19"/>
        <w:numPr>
          <w:ilvl w:val="0"/>
          <w:numId w:val="7"/>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检查至少在餐后2小时以上进行，无需停用抗心律失常药物</w:t>
      </w:r>
    </w:p>
    <w:p w14:paraId="7567541B">
      <w:pPr>
        <w:pStyle w:val="19"/>
        <w:numPr>
          <w:ilvl w:val="0"/>
          <w:numId w:val="7"/>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检查前与患者进行谈话，告知患者检查目的及检查过程中会出现的不适、并发症、意外风险及防范措施，并签署知情同意书</w:t>
      </w:r>
    </w:p>
    <w:p w14:paraId="1812908A">
      <w:pPr>
        <w:pStyle w:val="19"/>
        <w:numPr>
          <w:ilvl w:val="0"/>
          <w:numId w:val="7"/>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根据病史和12导联心电图评估受试者情况，必要时检查前预置静脉通道，以防意外</w:t>
      </w:r>
    </w:p>
    <w:p w14:paraId="1B3FB402">
      <w:pPr>
        <w:pStyle w:val="19"/>
        <w:numPr>
          <w:ilvl w:val="0"/>
          <w:numId w:val="7"/>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抢救设备与急救药品必须备用齐全</w:t>
      </w:r>
    </w:p>
    <w:p w14:paraId="403B05FC">
      <w:pPr>
        <w:pStyle w:val="19"/>
        <w:numPr>
          <w:ilvl w:val="0"/>
          <w:numId w:val="7"/>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推荐使用一次性食管电极导管</w:t>
      </w:r>
    </w:p>
    <w:p w14:paraId="01681B61">
      <w:pPr>
        <w:tabs>
          <w:tab w:val="left" w:pos="851"/>
        </w:tabs>
        <w:adjustRightInd w:val="0"/>
        <w:snapToGrid w:val="0"/>
        <w:spacing w:line="360" w:lineRule="auto"/>
        <w:ind w:left="42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3、以下关于食道电极插管描述错误的是：</w:t>
      </w:r>
    </w:p>
    <w:p w14:paraId="602B385E">
      <w:pPr>
        <w:pStyle w:val="19"/>
        <w:numPr>
          <w:ilvl w:val="0"/>
          <w:numId w:val="8"/>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通常经鼻腔先插至咽喉部，大概15~20cm，当导管前端有阻力时，嘱受试者做屏气动作，轻轻推送即可顺利通过咽部</w:t>
      </w:r>
    </w:p>
    <w:p w14:paraId="751E4EE1">
      <w:pPr>
        <w:pStyle w:val="19"/>
        <w:numPr>
          <w:ilvl w:val="0"/>
          <w:numId w:val="8"/>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注意手法须轻柔，减少插管对咽喉部的刺激；如果鼻腔插入有困难，可以改用口腔插入进行检查</w:t>
      </w:r>
    </w:p>
    <w:p w14:paraId="5DFA30AE">
      <w:pPr>
        <w:pStyle w:val="19"/>
        <w:numPr>
          <w:ilvl w:val="0"/>
          <w:numId w:val="8"/>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经鼻腔插入食管的深度可根据公式计算：鼻外孔至食管电极远端距离(cm)=（受试者身高+200）÷10±2</w:t>
      </w:r>
    </w:p>
    <w:p w14:paraId="26C4FAB0">
      <w:pPr>
        <w:pStyle w:val="19"/>
        <w:numPr>
          <w:ilvl w:val="0"/>
          <w:numId w:val="8"/>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根据食管导联心房波(A)、心室波(V)大小和A/V 比例进一步定位</w:t>
      </w:r>
    </w:p>
    <w:p w14:paraId="4B269CE5">
      <w:pPr>
        <w:pStyle w:val="19"/>
        <w:numPr>
          <w:ilvl w:val="0"/>
          <w:numId w:val="8"/>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记录插管深度</w:t>
      </w:r>
    </w:p>
    <w:p w14:paraId="6C6F964A">
      <w:pPr>
        <w:tabs>
          <w:tab w:val="left" w:pos="851"/>
        </w:tabs>
        <w:adjustRightInd w:val="0"/>
        <w:snapToGrid w:val="0"/>
        <w:spacing w:line="360" w:lineRule="auto"/>
        <w:ind w:left="42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4、以下关于心房超速刺激终止心动过速的方法描述错误的是：</w:t>
      </w:r>
    </w:p>
    <w:p w14:paraId="053CC86D">
      <w:pPr>
        <w:pStyle w:val="19"/>
        <w:numPr>
          <w:ilvl w:val="0"/>
          <w:numId w:val="9"/>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不能确定刺激阈值时，先根据食管导联P波形态确定导管位置，然后用16～18 V的电压开始刺激，根据刺激时的反应适当增减刺激电压，调整电极导管位置。</w:t>
      </w:r>
    </w:p>
    <w:p w14:paraId="688BCD19">
      <w:pPr>
        <w:pStyle w:val="19"/>
        <w:numPr>
          <w:ilvl w:val="0"/>
          <w:numId w:val="9"/>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对房室结折返性心动过速、房室折返性心动过速推荐使用比自身心动过速频率快20%～30%的3～5次S1S1定数刺激。</w:t>
      </w:r>
    </w:p>
    <w:p w14:paraId="5AA09CF3">
      <w:pPr>
        <w:pStyle w:val="19"/>
        <w:numPr>
          <w:ilvl w:val="0"/>
          <w:numId w:val="9"/>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如不能终止，可再次发放S1S1定数刺激。</w:t>
      </w:r>
    </w:p>
    <w:p w14:paraId="2B847B9E">
      <w:pPr>
        <w:pStyle w:val="19"/>
        <w:numPr>
          <w:ilvl w:val="0"/>
          <w:numId w:val="9"/>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如不能终止，可适当调整刺激频率及次数。</w:t>
      </w:r>
    </w:p>
    <w:p w14:paraId="6D4DE4B7">
      <w:pPr>
        <w:pStyle w:val="19"/>
        <w:numPr>
          <w:ilvl w:val="0"/>
          <w:numId w:val="9"/>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每次发放的刺激脉冲次数宜超出10次，防止心动过速终止后再次被诱发。</w:t>
      </w:r>
    </w:p>
    <w:p w14:paraId="134A6D2C">
      <w:pPr>
        <w:tabs>
          <w:tab w:val="left" w:pos="851"/>
        </w:tabs>
        <w:adjustRightInd w:val="0"/>
        <w:snapToGrid w:val="0"/>
        <w:spacing w:line="360" w:lineRule="auto"/>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5、慢快型房室结折返性心动过速电生理特点，错误的是：</w:t>
      </w:r>
    </w:p>
    <w:p w14:paraId="08E2C579">
      <w:pPr>
        <w:pStyle w:val="19"/>
        <w:numPr>
          <w:ilvl w:val="0"/>
          <w:numId w:val="10"/>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食管导联能清楚显示逆行P´波，逆行P´波多在Ⅱ、Ⅲ、aVF导联倒置，V1导联呈负正双相，RP´＜P´R，RP´＜70ms</w:t>
      </w:r>
    </w:p>
    <w:p w14:paraId="4FBC490D">
      <w:pPr>
        <w:pStyle w:val="19"/>
        <w:numPr>
          <w:ilvl w:val="0"/>
          <w:numId w:val="10"/>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常由心房早搏诱发，心动过速诱发时可见跳跃现象（S-R突然延长 ≥60ms）</w:t>
      </w:r>
    </w:p>
    <w:p w14:paraId="3190C266">
      <w:pPr>
        <w:pStyle w:val="19"/>
        <w:numPr>
          <w:ilvl w:val="0"/>
          <w:numId w:val="10"/>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心动过速发作时，大部分逆行P´波埋于QRS波群中无法显现，近1/3出现在QRS波终末，在下壁导联形成假s波，在V1导联形成假r’波，极少数出现在QRS波前，形成假q波</w:t>
      </w:r>
    </w:p>
    <w:p w14:paraId="1ADB3E8A">
      <w:pPr>
        <w:pStyle w:val="19"/>
        <w:numPr>
          <w:ilvl w:val="0"/>
          <w:numId w:val="10"/>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心率多为150-200次/分，少数情况下可高达250次/分或低于100次/分，节律规整</w:t>
      </w:r>
    </w:p>
    <w:p w14:paraId="6516FFC7">
      <w:pPr>
        <w:pStyle w:val="19"/>
        <w:numPr>
          <w:ilvl w:val="0"/>
          <w:numId w:val="10"/>
        </w:numPr>
        <w:tabs>
          <w:tab w:val="left" w:pos="851"/>
        </w:tabs>
        <w:adjustRightInd w:val="0"/>
        <w:snapToGrid w:val="0"/>
        <w:spacing w:line="360" w:lineRule="auto"/>
        <w:ind w:firstLineChars="0"/>
        <w:jc w:val="left"/>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折返环路限于房室结内，发生各类房室阻滞时心动过速会终止</w:t>
      </w:r>
    </w:p>
    <w:p w14:paraId="5EEE3F0D">
      <w:pPr>
        <w:tabs>
          <w:tab w:val="left" w:pos="851"/>
        </w:tabs>
        <w:adjustRightInd w:val="0"/>
        <w:snapToGrid w:val="0"/>
        <w:spacing w:line="360" w:lineRule="auto"/>
        <w:ind w:left="663"/>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6、顺向型房室折返性心动过速电生理特点，错误的是：</w:t>
      </w:r>
    </w:p>
    <w:p w14:paraId="1B499C28">
      <w:pPr>
        <w:pStyle w:val="19"/>
        <w:numPr>
          <w:ilvl w:val="0"/>
          <w:numId w:val="11"/>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常规心电图可表现为（显示性）或不表现（隐匿性）为预激</w:t>
      </w:r>
    </w:p>
    <w:p w14:paraId="452E7709">
      <w:pPr>
        <w:pStyle w:val="19"/>
        <w:numPr>
          <w:ilvl w:val="0"/>
          <w:numId w:val="11"/>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心动过速常突发突止，频率130-250次/分</w:t>
      </w:r>
    </w:p>
    <w:p w14:paraId="4BE97AC9">
      <w:pPr>
        <w:pStyle w:val="19"/>
        <w:numPr>
          <w:ilvl w:val="0"/>
          <w:numId w:val="11"/>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电刺激能重复诱发和终止</w:t>
      </w:r>
    </w:p>
    <w:p w14:paraId="1803E02D">
      <w:pPr>
        <w:pStyle w:val="19"/>
        <w:numPr>
          <w:ilvl w:val="0"/>
          <w:numId w:val="11"/>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心动过速发生时，无S2R延长，QRS波呈室上型；逆行P´波在QRS波之后，RP´＜P´R，RP´＜1/2RR，RP´＞70ms（通常≥100ms)</w:t>
      </w:r>
    </w:p>
    <w:p w14:paraId="78B90E8C">
      <w:pPr>
        <w:pStyle w:val="19"/>
        <w:numPr>
          <w:ilvl w:val="0"/>
          <w:numId w:val="11"/>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当心动过速时，若伴有旁道同侧功能性束支阻滞，RR无变化</w:t>
      </w:r>
    </w:p>
    <w:p w14:paraId="6055534F">
      <w:pPr>
        <w:tabs>
          <w:tab w:val="left" w:pos="851"/>
        </w:tabs>
        <w:adjustRightInd w:val="0"/>
        <w:snapToGrid w:val="0"/>
        <w:spacing w:line="360" w:lineRule="auto"/>
        <w:ind w:left="663"/>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7、终止心房扑动的描述错误的是：</w:t>
      </w:r>
    </w:p>
    <w:p w14:paraId="75D4B332">
      <w:pPr>
        <w:pStyle w:val="19"/>
        <w:numPr>
          <w:ilvl w:val="0"/>
          <w:numId w:val="12"/>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终止前应充分做好临床风险评估（血液动力学稳定情况，抗心律失常药物，血栓风险）</w:t>
      </w:r>
    </w:p>
    <w:p w14:paraId="337ACC78">
      <w:pPr>
        <w:pStyle w:val="19"/>
        <w:numPr>
          <w:ilvl w:val="0"/>
          <w:numId w:val="12"/>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前期充分行抗凝/抗栓治疗或行经食管超声检查确定无左心房附壁血栓。</w:t>
      </w:r>
    </w:p>
    <w:p w14:paraId="51651BF4">
      <w:pPr>
        <w:pStyle w:val="19"/>
        <w:numPr>
          <w:ilvl w:val="0"/>
          <w:numId w:val="12"/>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前期应行窦房结功能评估，以避免终止心房扑动过程中发生血栓脱落或窦性停搏等并发症。</w:t>
      </w:r>
    </w:p>
    <w:p w14:paraId="7ABFE2B5">
      <w:pPr>
        <w:pStyle w:val="19"/>
        <w:numPr>
          <w:ilvl w:val="0"/>
          <w:numId w:val="12"/>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超速刺激的频率可选择在350～500次/min，刺激时间不宜过长，根据心房扑动波频率加50次/min开始，每次递增50次/min，直至心房扑动终止</w:t>
      </w:r>
    </w:p>
    <w:p w14:paraId="59235CDB">
      <w:pPr>
        <w:pStyle w:val="19"/>
        <w:numPr>
          <w:ilvl w:val="0"/>
          <w:numId w:val="12"/>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非典型心房扑动的终止成功率非常高。</w:t>
      </w:r>
    </w:p>
    <w:p w14:paraId="599E94B1">
      <w:pPr>
        <w:tabs>
          <w:tab w:val="left" w:pos="851"/>
        </w:tabs>
        <w:adjustRightInd w:val="0"/>
        <w:snapToGrid w:val="0"/>
        <w:spacing w:line="360" w:lineRule="auto"/>
        <w:ind w:left="663"/>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8、以下关于分支折返型室性心动过速描述错误的是：</w:t>
      </w:r>
    </w:p>
    <w:p w14:paraId="19392C7D">
      <w:pPr>
        <w:pStyle w:val="19"/>
        <w:numPr>
          <w:ilvl w:val="0"/>
          <w:numId w:val="13"/>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食道导联可见明显房室分离，心房波频率慢于心室波</w:t>
      </w:r>
    </w:p>
    <w:p w14:paraId="4F1F38C2">
      <w:pPr>
        <w:pStyle w:val="19"/>
        <w:numPr>
          <w:ilvl w:val="0"/>
          <w:numId w:val="13"/>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左后分支起源室性心动过速体表心电图可见右束支阻滞图形合并肢体导联左前分支阻滞图形</w:t>
      </w:r>
    </w:p>
    <w:p w14:paraId="2B5B9110">
      <w:pPr>
        <w:pStyle w:val="19"/>
        <w:numPr>
          <w:ilvl w:val="0"/>
          <w:numId w:val="13"/>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左前分支起源室性心动过速体表心电图可见右束支阻滞图形合并肢体导联左后分支阻滞图形</w:t>
      </w:r>
    </w:p>
    <w:p w14:paraId="0A15AFFF">
      <w:pPr>
        <w:pStyle w:val="19"/>
        <w:numPr>
          <w:ilvl w:val="0"/>
          <w:numId w:val="13"/>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应用食管心房超速刺激可终止所有室性心动过速。</w:t>
      </w:r>
    </w:p>
    <w:p w14:paraId="0776D717">
      <w:pPr>
        <w:pStyle w:val="19"/>
        <w:numPr>
          <w:ilvl w:val="0"/>
          <w:numId w:val="13"/>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当反复不能终止室性心动过速时，需要结合临床应用药物等其他临床措施处理。</w:t>
      </w:r>
    </w:p>
    <w:p w14:paraId="0082AF22">
      <w:pPr>
        <w:tabs>
          <w:tab w:val="left" w:pos="851"/>
        </w:tabs>
        <w:adjustRightInd w:val="0"/>
        <w:snapToGrid w:val="0"/>
        <w:spacing w:line="360" w:lineRule="auto"/>
        <w:ind w:left="663"/>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9、以下关于食道调搏适应症描述错误的是：</w:t>
      </w:r>
    </w:p>
    <w:p w14:paraId="4B3D80C1">
      <w:pPr>
        <w:pStyle w:val="19"/>
        <w:numPr>
          <w:ilvl w:val="0"/>
          <w:numId w:val="14"/>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窦性心动过缓，原因不明的黑矇、晕厥患者，进行窦房结功能和房室结功能的评估</w:t>
      </w:r>
    </w:p>
    <w:p w14:paraId="5C8557A3">
      <w:pPr>
        <w:pStyle w:val="19"/>
        <w:numPr>
          <w:ilvl w:val="0"/>
          <w:numId w:val="14"/>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阵发性心悸，发作呈突发突止，未能记录到发作时心电图的患者，了解心悸的原因</w:t>
      </w:r>
    </w:p>
    <w:p w14:paraId="5943ADC4">
      <w:pPr>
        <w:pStyle w:val="19"/>
        <w:numPr>
          <w:ilvl w:val="0"/>
          <w:numId w:val="14"/>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心电图记录到阵发性室上性心动过速，进行电生理检查以明确心动过速的类型与机制</w:t>
      </w:r>
    </w:p>
    <w:p w14:paraId="317BBAC3">
      <w:pPr>
        <w:pStyle w:val="19"/>
        <w:numPr>
          <w:ilvl w:val="0"/>
          <w:numId w:val="14"/>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对显性预激综合征患者，了解房室旁道的电生理特性和诱发心动过速，检出高危房室旁道；</w:t>
      </w:r>
    </w:p>
    <w:p w14:paraId="64F62F6A">
      <w:pPr>
        <w:pStyle w:val="19"/>
        <w:numPr>
          <w:ilvl w:val="0"/>
          <w:numId w:val="14"/>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不能应用于终止妊娠妇女及使用药物无效的急诊室上速</w:t>
      </w:r>
    </w:p>
    <w:p w14:paraId="63270925">
      <w:pPr>
        <w:tabs>
          <w:tab w:val="left" w:pos="851"/>
        </w:tabs>
        <w:adjustRightInd w:val="0"/>
        <w:snapToGrid w:val="0"/>
        <w:spacing w:line="360" w:lineRule="auto"/>
        <w:ind w:left="663"/>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10、以下关于检查注意事项描述错误的是</w:t>
      </w:r>
    </w:p>
    <w:p w14:paraId="310DCC0F">
      <w:pPr>
        <w:pStyle w:val="19"/>
        <w:numPr>
          <w:ilvl w:val="0"/>
          <w:numId w:val="15"/>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检查过程中出现恶心、呕吐、咳嗽、咽部不适、膈肌刺激等可调整食道电极导管位置，调整检测阈值。  </w:t>
      </w:r>
    </w:p>
    <w:p w14:paraId="0140B562">
      <w:pPr>
        <w:pStyle w:val="19"/>
        <w:numPr>
          <w:ilvl w:val="0"/>
          <w:numId w:val="15"/>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诱发心房颤动、扑动，无需停止检查</w:t>
      </w:r>
    </w:p>
    <w:p w14:paraId="0C84CCDC">
      <w:pPr>
        <w:pStyle w:val="19"/>
        <w:numPr>
          <w:ilvl w:val="0"/>
          <w:numId w:val="15"/>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急性房颤因心室率过快而诱发心绞痛或心力衰竭时，首选体外同步直流电转复。对无血液动力学障碍者，可监测心率并送急诊观察室观察。</w:t>
      </w:r>
    </w:p>
    <w:p w14:paraId="28E89E6B">
      <w:pPr>
        <w:pStyle w:val="19"/>
        <w:numPr>
          <w:ilvl w:val="0"/>
          <w:numId w:val="15"/>
        </w:numPr>
        <w:tabs>
          <w:tab w:val="left" w:pos="851"/>
        </w:tabs>
        <w:adjustRightInd w:val="0"/>
        <w:snapToGrid w:val="0"/>
        <w:spacing w:line="360" w:lineRule="auto"/>
        <w:ind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诱发室速伴血流动力学障碍或出现室扑室颤等各种恶性心律失常立即行电除颤，同时做好心肺复苏准备</w:t>
      </w:r>
    </w:p>
    <w:p w14:paraId="7715C395">
      <w:pPr>
        <w:pStyle w:val="19"/>
        <w:numPr>
          <w:ilvl w:val="0"/>
          <w:numId w:val="15"/>
        </w:numPr>
        <w:tabs>
          <w:tab w:val="left" w:pos="851"/>
        </w:tabs>
        <w:adjustRightInd w:val="0"/>
        <w:snapToGrid w:val="0"/>
        <w:spacing w:line="360" w:lineRule="auto"/>
        <w:ind w:firstLineChars="0"/>
        <w:jc w:val="left"/>
        <w:rPr>
          <w:rFonts w:ascii="宋体" w:hAnsi="宋体" w:cs="宋体"/>
          <w:sz w:val="24"/>
        </w:rPr>
      </w:pPr>
      <w:r>
        <w:rPr>
          <w:rFonts w:hint="eastAsia" w:ascii="仿宋_GB2312" w:hAnsi="仿宋_GB2312" w:eastAsia="仿宋_GB2312" w:cs="仿宋_GB2312"/>
          <w:sz w:val="32"/>
          <w:szCs w:val="32"/>
        </w:rPr>
        <w:t>若出现大于3秒的长间歇，应立即行保护性起搏</w:t>
      </w:r>
      <w:bookmarkEnd w:id="1"/>
      <w:bookmarkEnd w:id="2"/>
      <w:bookmarkEnd w:id="3"/>
    </w:p>
    <w:sectPr>
      <w:footerReference r:id="rId3" w:type="default"/>
      <w:pgSz w:w="11906" w:h="16838"/>
      <w:pgMar w:top="1814" w:right="1587" w:bottom="1701" w:left="1587" w:header="1020" w:footer="10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35A27">
    <w:pPr>
      <w:pStyle w:val="5"/>
      <w:ind w:firstLine="3600" w:firstLineChars="2000"/>
    </w:pPr>
    <w:r>
      <w:rPr>
        <w:rFonts w:hint="eastAsia"/>
      </w:rPr>
      <w:t xml:space="preserve"> </w:t>
    </w:r>
    <w:r>
      <w:t xml:space="preserve">       </w:t>
    </w:r>
    <w:r>
      <w:rPr>
        <w:rFonts w:hint="eastAsia"/>
      </w:rPr>
      <w:t>第</w:t>
    </w:r>
    <w:r>
      <w:fldChar w:fldCharType="begin"/>
    </w:r>
    <w:r>
      <w:instrText xml:space="preserve"> </w:instrText>
    </w:r>
    <w:r>
      <w:rPr>
        <w:rFonts w:hint="eastAsia"/>
      </w:rPr>
      <w:instrText xml:space="preserve">PAGE   \* MERGEFORMAT</w:instrText>
    </w:r>
    <w:r>
      <w:instrText xml:space="preserve"> </w:instrText>
    </w:r>
    <w:r>
      <w:fldChar w:fldCharType="separate"/>
    </w:r>
    <w:r>
      <w:t>1</w:t>
    </w:r>
    <w:r>
      <w:fldChar w:fldCharType="end"/>
    </w:r>
    <w:r>
      <w:rPr>
        <w:rFonts w:hint="eastAsia"/>
      </w:rPr>
      <w:t>页/共</w:t>
    </w:r>
    <w:r>
      <w:fldChar w:fldCharType="begin"/>
    </w:r>
    <w:r>
      <w:instrText xml:space="preserve"> NUMPAGES   \* MERGEFORMAT </w:instrText>
    </w:r>
    <w:r>
      <w:fldChar w:fldCharType="separate"/>
    </w:r>
    <w:r>
      <w:t>1</w:t>
    </w:r>
    <w:r>
      <w:fldChar w:fldCharType="end"/>
    </w:r>
    <w:r>
      <w:rPr>
        <w:rFonts w:hint="eastAsia"/>
      </w:rPr>
      <w:t>页</w:t>
    </w:r>
  </w:p>
  <w:p w14:paraId="7CE6704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530EB"/>
    <w:multiLevelType w:val="multilevel"/>
    <w:tmpl w:val="01F530EB"/>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1">
    <w:nsid w:val="03FB6C41"/>
    <w:multiLevelType w:val="multilevel"/>
    <w:tmpl w:val="03FB6C41"/>
    <w:lvl w:ilvl="0" w:tentative="0">
      <w:start w:val="1"/>
      <w:numFmt w:val="upp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0FD642C6"/>
    <w:multiLevelType w:val="multilevel"/>
    <w:tmpl w:val="0FD642C6"/>
    <w:lvl w:ilvl="0" w:tentative="0">
      <w:start w:val="1"/>
      <w:numFmt w:val="decimal"/>
      <w:lvlText w:val="%1."/>
      <w:lvlJc w:val="left"/>
      <w:pPr>
        <w:ind w:left="1259" w:hanging="420"/>
      </w:pPr>
      <w:rPr>
        <w:rFonts w:hint="default"/>
        <w:sz w:val="24"/>
      </w:rPr>
    </w:lvl>
    <w:lvl w:ilvl="1" w:tentative="0">
      <w:start w:val="1"/>
      <w:numFmt w:val="decimal"/>
      <w:lvlText w:val="3.%2"/>
      <w:lvlJc w:val="left"/>
      <w:pPr>
        <w:tabs>
          <w:tab w:val="left" w:pos="1259"/>
        </w:tabs>
        <w:ind w:left="1259" w:hanging="420"/>
      </w:pPr>
      <w:rPr>
        <w:rFonts w:hint="default" w:ascii="宋体" w:hAnsi="宋体" w:eastAsia="宋体" w:cs="宋体"/>
        <w:sz w:val="24"/>
      </w:rPr>
    </w:lvl>
    <w:lvl w:ilvl="2" w:tentative="0">
      <w:start w:val="1"/>
      <w:numFmt w:val="decimal"/>
      <w:lvlText w:val="5.%3"/>
      <w:lvlJc w:val="left"/>
      <w:pPr>
        <w:ind w:left="1260" w:hanging="420"/>
      </w:pPr>
      <w:rPr>
        <w:rFonts w:hint="default" w:ascii="Times New Roman" w:hAnsi="Times New Roman"/>
        <w:sz w:val="24"/>
      </w:rPr>
    </w:lvl>
    <w:lvl w:ilvl="3" w:tentative="0">
      <w:start w:val="1"/>
      <w:numFmt w:val="decimal"/>
      <w:lvlText w:val="5.%4"/>
      <w:lvlJc w:val="left"/>
      <w:pPr>
        <w:tabs>
          <w:tab w:val="left" w:pos="1259"/>
        </w:tabs>
        <w:ind w:left="1259" w:hanging="420"/>
      </w:pPr>
      <w:rPr>
        <w:rFonts w:hint="default"/>
        <w:sz w:val="24"/>
      </w:rPr>
    </w:lvl>
    <w:lvl w:ilvl="4" w:tentative="0">
      <w:start w:val="1"/>
      <w:numFmt w:val="decimal"/>
      <w:lvlText w:val="6.%5"/>
      <w:lvlJc w:val="left"/>
      <w:pPr>
        <w:tabs>
          <w:tab w:val="left" w:pos="1259"/>
        </w:tabs>
        <w:ind w:left="1259" w:hanging="420"/>
      </w:pPr>
      <w:rPr>
        <w:rFonts w:hint="default"/>
        <w:sz w:val="24"/>
      </w:rPr>
    </w:lvl>
    <w:lvl w:ilvl="5" w:tentative="0">
      <w:start w:val="1"/>
      <w:numFmt w:val="decimal"/>
      <w:lvlText w:val="%6"/>
      <w:lvlJc w:val="left"/>
      <w:pPr>
        <w:tabs>
          <w:tab w:val="left" w:pos="782"/>
        </w:tabs>
        <w:ind w:left="782" w:hanging="362"/>
      </w:pPr>
      <w:rPr>
        <w:rFonts w:hint="default" w:ascii="Times New Roman" w:hAnsi="Times New Roman"/>
        <w:sz w:val="24"/>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14AB09B2"/>
    <w:multiLevelType w:val="multilevel"/>
    <w:tmpl w:val="14AB09B2"/>
    <w:lvl w:ilvl="0" w:tentative="0">
      <w:start w:val="1"/>
      <w:numFmt w:val="upp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210F7573"/>
    <w:multiLevelType w:val="multilevel"/>
    <w:tmpl w:val="210F7573"/>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5">
    <w:nsid w:val="21B42E00"/>
    <w:multiLevelType w:val="multilevel"/>
    <w:tmpl w:val="21B42E00"/>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6">
    <w:nsid w:val="34D1643B"/>
    <w:multiLevelType w:val="multilevel"/>
    <w:tmpl w:val="34D1643B"/>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7">
    <w:nsid w:val="398F6004"/>
    <w:multiLevelType w:val="multilevel"/>
    <w:tmpl w:val="398F6004"/>
    <w:lvl w:ilvl="0" w:tentative="0">
      <w:start w:val="1"/>
      <w:numFmt w:val="decimal"/>
      <w:lvlText w:val="2.%1"/>
      <w:lvlJc w:val="left"/>
      <w:pPr>
        <w:tabs>
          <w:tab w:val="left" w:pos="1259"/>
        </w:tabs>
        <w:ind w:left="1259" w:hanging="420"/>
      </w:pPr>
      <w:rPr>
        <w:rFonts w:hint="default" w:ascii="Times New Roman" w:hAnsi="Times New Roman" w:cs="Times New Roman"/>
        <w:sz w:val="24"/>
      </w:rPr>
    </w:lvl>
    <w:lvl w:ilvl="1" w:tentative="0">
      <w:start w:val="1"/>
      <w:numFmt w:val="decimal"/>
      <w:lvlText w:val="3.%2"/>
      <w:lvlJc w:val="left"/>
      <w:pPr>
        <w:tabs>
          <w:tab w:val="left" w:pos="1259"/>
        </w:tabs>
        <w:ind w:left="1259" w:hanging="420"/>
      </w:pPr>
      <w:rPr>
        <w:rFonts w:hint="default" w:ascii="Times New Roman" w:hAnsi="Times New Roman"/>
        <w:sz w:val="24"/>
      </w:rPr>
    </w:lvl>
    <w:lvl w:ilvl="2" w:tentative="0">
      <w:start w:val="1"/>
      <w:numFmt w:val="decimal"/>
      <w:lvlText w:val="4.%3"/>
      <w:lvlJc w:val="left"/>
      <w:pPr>
        <w:tabs>
          <w:tab w:val="left" w:pos="1260"/>
        </w:tabs>
        <w:ind w:left="1260" w:hanging="420"/>
      </w:pPr>
      <w:rPr>
        <w:rFonts w:hint="default" w:ascii="Times New Roman" w:hAnsi="Times New Roman"/>
        <w:sz w:val="24"/>
      </w:rPr>
    </w:lvl>
    <w:lvl w:ilvl="3" w:tentative="0">
      <w:start w:val="1"/>
      <w:numFmt w:val="decimal"/>
      <w:lvlText w:val="5.%4"/>
      <w:lvlJc w:val="left"/>
      <w:pPr>
        <w:tabs>
          <w:tab w:val="left" w:pos="1259"/>
        </w:tabs>
        <w:ind w:left="1259" w:hanging="420"/>
      </w:pPr>
      <w:rPr>
        <w:rFonts w:hint="default"/>
        <w:sz w:val="24"/>
      </w:rPr>
    </w:lvl>
    <w:lvl w:ilvl="4" w:tentative="0">
      <w:start w:val="1"/>
      <w:numFmt w:val="decimal"/>
      <w:lvlText w:val="6.%5"/>
      <w:lvlJc w:val="left"/>
      <w:pPr>
        <w:tabs>
          <w:tab w:val="left" w:pos="1259"/>
        </w:tabs>
        <w:ind w:left="1259" w:hanging="420"/>
      </w:pPr>
      <w:rPr>
        <w:rFonts w:hint="default"/>
        <w:sz w:val="24"/>
      </w:rPr>
    </w:lvl>
    <w:lvl w:ilvl="5" w:tentative="0">
      <w:start w:val="1"/>
      <w:numFmt w:val="decimal"/>
      <w:lvlText w:val="%6"/>
      <w:lvlJc w:val="left"/>
      <w:pPr>
        <w:tabs>
          <w:tab w:val="left" w:pos="782"/>
        </w:tabs>
        <w:ind w:left="782" w:hanging="362"/>
      </w:pPr>
      <w:rPr>
        <w:rFonts w:hint="default" w:ascii="Times New Roman" w:hAnsi="Times New Roman"/>
        <w:sz w:val="24"/>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BF614CE"/>
    <w:multiLevelType w:val="multilevel"/>
    <w:tmpl w:val="3BF614CE"/>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9">
    <w:nsid w:val="4E666349"/>
    <w:multiLevelType w:val="multilevel"/>
    <w:tmpl w:val="4E666349"/>
    <w:lvl w:ilvl="0" w:tentative="0">
      <w:start w:val="1"/>
      <w:numFmt w:val="decimal"/>
      <w:lvlText w:val="%1"/>
      <w:lvlJc w:val="left"/>
      <w:pPr>
        <w:tabs>
          <w:tab w:val="left" w:pos="840"/>
        </w:tabs>
        <w:ind w:left="840" w:hanging="420"/>
      </w:pPr>
      <w:rPr>
        <w:rFonts w:hint="default" w:ascii="Times New Roman" w:hAnsi="Times New Roman"/>
        <w:b w:val="0"/>
        <w:i w:val="0"/>
        <w:sz w:val="24"/>
      </w:rPr>
    </w:lvl>
    <w:lvl w:ilvl="1" w:tentative="0">
      <w:start w:val="1"/>
      <w:numFmt w:val="decimal"/>
      <w:lvlText w:val="6.%2"/>
      <w:lvlJc w:val="left"/>
      <w:pPr>
        <w:tabs>
          <w:tab w:val="left" w:pos="1259"/>
        </w:tabs>
        <w:ind w:left="1259" w:hanging="420"/>
      </w:pPr>
      <w:rPr>
        <w:rFonts w:hint="default"/>
        <w:b w:val="0"/>
        <w:i w:val="0"/>
        <w:sz w:val="24"/>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A332968"/>
    <w:multiLevelType w:val="multilevel"/>
    <w:tmpl w:val="5A332968"/>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11">
    <w:nsid w:val="66DD6811"/>
    <w:multiLevelType w:val="multilevel"/>
    <w:tmpl w:val="66DD6811"/>
    <w:lvl w:ilvl="0" w:tentative="0">
      <w:start w:val="2"/>
      <w:numFmt w:val="decimal"/>
      <w:lvlText w:val="2.%1"/>
      <w:lvlJc w:val="left"/>
      <w:pPr>
        <w:ind w:left="1259" w:hanging="420"/>
      </w:pPr>
      <w:rPr>
        <w:rFonts w:hint="default" w:ascii="Times New Roman" w:hAnsi="Times New Roman" w:cs="Times New Roman"/>
        <w:sz w:val="24"/>
      </w:rPr>
    </w:lvl>
    <w:lvl w:ilvl="1" w:tentative="0">
      <w:start w:val="1"/>
      <w:numFmt w:val="decimal"/>
      <w:lvlText w:val="3.%2"/>
      <w:lvlJc w:val="left"/>
      <w:pPr>
        <w:tabs>
          <w:tab w:val="left" w:pos="1259"/>
        </w:tabs>
        <w:ind w:left="1259" w:hanging="420"/>
      </w:pPr>
      <w:rPr>
        <w:rFonts w:hint="default" w:ascii="宋体" w:hAnsi="宋体" w:eastAsia="宋体" w:cs="宋体"/>
        <w:sz w:val="24"/>
      </w:rPr>
    </w:lvl>
    <w:lvl w:ilvl="2" w:tentative="0">
      <w:start w:val="1"/>
      <w:numFmt w:val="decimal"/>
      <w:lvlText w:val="5.%3"/>
      <w:lvlJc w:val="left"/>
      <w:pPr>
        <w:ind w:left="1260" w:hanging="420"/>
      </w:pPr>
      <w:rPr>
        <w:rFonts w:hint="default" w:ascii="Times New Roman" w:hAnsi="Times New Roman"/>
        <w:sz w:val="24"/>
      </w:rPr>
    </w:lvl>
    <w:lvl w:ilvl="3" w:tentative="0">
      <w:start w:val="1"/>
      <w:numFmt w:val="decimal"/>
      <w:lvlText w:val="5.%4"/>
      <w:lvlJc w:val="left"/>
      <w:pPr>
        <w:tabs>
          <w:tab w:val="left" w:pos="1259"/>
        </w:tabs>
        <w:ind w:left="1259" w:hanging="420"/>
      </w:pPr>
      <w:rPr>
        <w:rFonts w:hint="default"/>
        <w:sz w:val="24"/>
      </w:rPr>
    </w:lvl>
    <w:lvl w:ilvl="4" w:tentative="0">
      <w:start w:val="1"/>
      <w:numFmt w:val="decimal"/>
      <w:lvlText w:val="6.%5"/>
      <w:lvlJc w:val="left"/>
      <w:pPr>
        <w:tabs>
          <w:tab w:val="left" w:pos="1259"/>
        </w:tabs>
        <w:ind w:left="1259" w:hanging="420"/>
      </w:pPr>
      <w:rPr>
        <w:rFonts w:hint="default"/>
        <w:sz w:val="24"/>
      </w:rPr>
    </w:lvl>
    <w:lvl w:ilvl="5" w:tentative="0">
      <w:start w:val="1"/>
      <w:numFmt w:val="decimal"/>
      <w:lvlText w:val="%6"/>
      <w:lvlJc w:val="left"/>
      <w:pPr>
        <w:tabs>
          <w:tab w:val="left" w:pos="782"/>
        </w:tabs>
        <w:ind w:left="782" w:hanging="362"/>
      </w:pPr>
      <w:rPr>
        <w:rFonts w:hint="default" w:ascii="Times New Roman" w:hAnsi="Times New Roman"/>
        <w:sz w:val="24"/>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2">
    <w:nsid w:val="6A6918B9"/>
    <w:multiLevelType w:val="multilevel"/>
    <w:tmpl w:val="6A6918B9"/>
    <w:lvl w:ilvl="0" w:tentative="0">
      <w:start w:val="1"/>
      <w:numFmt w:val="upperLetter"/>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3">
    <w:nsid w:val="77C91CD8"/>
    <w:multiLevelType w:val="multilevel"/>
    <w:tmpl w:val="77C91CD8"/>
    <w:lvl w:ilvl="0" w:tentative="0">
      <w:start w:val="1"/>
      <w:numFmt w:val="upperLetter"/>
      <w:lvlText w:val="%1."/>
      <w:lvlJc w:val="left"/>
      <w:pPr>
        <w:ind w:left="1103" w:hanging="440"/>
      </w:pPr>
    </w:lvl>
    <w:lvl w:ilvl="1" w:tentative="0">
      <w:start w:val="1"/>
      <w:numFmt w:val="lowerLetter"/>
      <w:lvlText w:val="%2)"/>
      <w:lvlJc w:val="left"/>
      <w:pPr>
        <w:ind w:left="1543" w:hanging="440"/>
      </w:pPr>
    </w:lvl>
    <w:lvl w:ilvl="2" w:tentative="0">
      <w:start w:val="1"/>
      <w:numFmt w:val="lowerRoman"/>
      <w:lvlText w:val="%3."/>
      <w:lvlJc w:val="right"/>
      <w:pPr>
        <w:ind w:left="1983" w:hanging="440"/>
      </w:pPr>
    </w:lvl>
    <w:lvl w:ilvl="3" w:tentative="0">
      <w:start w:val="1"/>
      <w:numFmt w:val="decimal"/>
      <w:lvlText w:val="%4."/>
      <w:lvlJc w:val="left"/>
      <w:pPr>
        <w:ind w:left="2423" w:hanging="440"/>
      </w:pPr>
    </w:lvl>
    <w:lvl w:ilvl="4" w:tentative="0">
      <w:start w:val="1"/>
      <w:numFmt w:val="lowerLetter"/>
      <w:lvlText w:val="%5)"/>
      <w:lvlJc w:val="left"/>
      <w:pPr>
        <w:ind w:left="2863" w:hanging="440"/>
      </w:pPr>
    </w:lvl>
    <w:lvl w:ilvl="5" w:tentative="0">
      <w:start w:val="1"/>
      <w:numFmt w:val="lowerRoman"/>
      <w:lvlText w:val="%6."/>
      <w:lvlJc w:val="right"/>
      <w:pPr>
        <w:ind w:left="3303" w:hanging="440"/>
      </w:pPr>
    </w:lvl>
    <w:lvl w:ilvl="6" w:tentative="0">
      <w:start w:val="1"/>
      <w:numFmt w:val="decimal"/>
      <w:lvlText w:val="%7."/>
      <w:lvlJc w:val="left"/>
      <w:pPr>
        <w:ind w:left="3743" w:hanging="440"/>
      </w:pPr>
    </w:lvl>
    <w:lvl w:ilvl="7" w:tentative="0">
      <w:start w:val="1"/>
      <w:numFmt w:val="lowerLetter"/>
      <w:lvlText w:val="%8)"/>
      <w:lvlJc w:val="left"/>
      <w:pPr>
        <w:ind w:left="4183" w:hanging="440"/>
      </w:pPr>
    </w:lvl>
    <w:lvl w:ilvl="8" w:tentative="0">
      <w:start w:val="1"/>
      <w:numFmt w:val="lowerRoman"/>
      <w:lvlText w:val="%9."/>
      <w:lvlJc w:val="right"/>
      <w:pPr>
        <w:ind w:left="4623" w:hanging="440"/>
      </w:pPr>
    </w:lvl>
  </w:abstractNum>
  <w:abstractNum w:abstractNumId="14">
    <w:nsid w:val="798C472A"/>
    <w:multiLevelType w:val="multilevel"/>
    <w:tmpl w:val="798C472A"/>
    <w:lvl w:ilvl="0" w:tentative="0">
      <w:start w:val="4"/>
      <w:numFmt w:val="decimal"/>
      <w:lvlText w:val="%1."/>
      <w:lvlJc w:val="left"/>
      <w:pPr>
        <w:ind w:left="425" w:hanging="425"/>
      </w:pPr>
      <w:rPr>
        <w:rFonts w:hint="default"/>
      </w:rPr>
    </w:lvl>
    <w:lvl w:ilvl="1" w:tentative="0">
      <w:start w:val="2"/>
      <w:numFmt w:val="decimal"/>
      <w:lvlText w:val="%1.%2."/>
      <w:lvlJc w:val="left"/>
      <w:pPr>
        <w:ind w:left="850" w:hanging="453"/>
      </w:pPr>
      <w:rPr>
        <w:rFonts w:hint="default" w:ascii="宋体" w:hAnsi="宋体" w:eastAsia="宋体" w:cs="宋体"/>
      </w:rPr>
    </w:lvl>
    <w:lvl w:ilvl="2" w:tentative="0">
      <w:start w:val="1"/>
      <w:numFmt w:val="decimal"/>
      <w:lvlText w:val="%1.%2.%3"/>
      <w:lvlJc w:val="left"/>
      <w:pPr>
        <w:tabs>
          <w:tab w:val="left" w:pos="0"/>
        </w:tabs>
        <w:ind w:left="1508" w:hanging="708"/>
      </w:pPr>
      <w:rPr>
        <w:rFonts w:hint="default" w:ascii="宋体" w:hAnsi="宋体" w:eastAsia="宋体" w:cs="宋体"/>
      </w:rPr>
    </w:lvl>
    <w:lvl w:ilvl="3" w:tentative="0">
      <w:start w:val="1"/>
      <w:numFmt w:val="decimal"/>
      <w:suff w:val="space"/>
      <w:lvlText w:val="5.3.%4"/>
      <w:lvlJc w:val="left"/>
      <w:pPr>
        <w:ind w:left="1939" w:hanging="739"/>
      </w:pPr>
      <w:rPr>
        <w:rFonts w:hint="default" w:ascii="宋体" w:hAnsi="宋体" w:eastAsia="宋体" w:cs="宋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9"/>
  </w:num>
  <w:num w:numId="2">
    <w:abstractNumId w:val="7"/>
  </w:num>
  <w:num w:numId="3">
    <w:abstractNumId w:val="2"/>
  </w:num>
  <w:num w:numId="4">
    <w:abstractNumId w:val="14"/>
  </w:num>
  <w:num w:numId="5">
    <w:abstractNumId w:val="11"/>
  </w:num>
  <w:num w:numId="6">
    <w:abstractNumId w:val="3"/>
  </w:num>
  <w:num w:numId="7">
    <w:abstractNumId w:val="12"/>
  </w:num>
  <w:num w:numId="8">
    <w:abstractNumId w:val="1"/>
  </w:num>
  <w:num w:numId="9">
    <w:abstractNumId w:val="4"/>
  </w:num>
  <w:num w:numId="10">
    <w:abstractNumId w:val="5"/>
  </w:num>
  <w:num w:numId="11">
    <w:abstractNumId w:val="6"/>
  </w:num>
  <w:num w:numId="12">
    <w:abstractNumId w:val="13"/>
  </w:num>
  <w:num w:numId="13">
    <w:abstractNumId w:val="10"/>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2DE"/>
    <w:rsid w:val="000378CA"/>
    <w:rsid w:val="000608DA"/>
    <w:rsid w:val="0016390B"/>
    <w:rsid w:val="00216D3F"/>
    <w:rsid w:val="00272CBB"/>
    <w:rsid w:val="002B1199"/>
    <w:rsid w:val="003226CF"/>
    <w:rsid w:val="00323E20"/>
    <w:rsid w:val="003E15F4"/>
    <w:rsid w:val="0047571B"/>
    <w:rsid w:val="004B65E6"/>
    <w:rsid w:val="004D1310"/>
    <w:rsid w:val="00504000"/>
    <w:rsid w:val="00537921"/>
    <w:rsid w:val="005F3692"/>
    <w:rsid w:val="00665098"/>
    <w:rsid w:val="006665FE"/>
    <w:rsid w:val="00864A34"/>
    <w:rsid w:val="00886B15"/>
    <w:rsid w:val="00890E84"/>
    <w:rsid w:val="008D5B44"/>
    <w:rsid w:val="008E1330"/>
    <w:rsid w:val="00907287"/>
    <w:rsid w:val="00907915"/>
    <w:rsid w:val="009407C1"/>
    <w:rsid w:val="00B032DE"/>
    <w:rsid w:val="00B12217"/>
    <w:rsid w:val="00B56FAC"/>
    <w:rsid w:val="00B91358"/>
    <w:rsid w:val="00BC7EB6"/>
    <w:rsid w:val="00C33041"/>
    <w:rsid w:val="00D70856"/>
    <w:rsid w:val="00D823D3"/>
    <w:rsid w:val="00E11147"/>
    <w:rsid w:val="00E23F79"/>
    <w:rsid w:val="00E45960"/>
    <w:rsid w:val="00E559F8"/>
    <w:rsid w:val="00EB7DCD"/>
    <w:rsid w:val="00ED55BB"/>
    <w:rsid w:val="031B682B"/>
    <w:rsid w:val="03EA6727"/>
    <w:rsid w:val="0C60566D"/>
    <w:rsid w:val="11F51EEB"/>
    <w:rsid w:val="13E51B53"/>
    <w:rsid w:val="18AB024A"/>
    <w:rsid w:val="1CD76EF4"/>
    <w:rsid w:val="26EF2016"/>
    <w:rsid w:val="285E0A2C"/>
    <w:rsid w:val="2A1A0600"/>
    <w:rsid w:val="36F87DD5"/>
    <w:rsid w:val="39FD1880"/>
    <w:rsid w:val="3A7A59B6"/>
    <w:rsid w:val="3FA92EAB"/>
    <w:rsid w:val="412E3676"/>
    <w:rsid w:val="43197B07"/>
    <w:rsid w:val="44F22B38"/>
    <w:rsid w:val="47981F8D"/>
    <w:rsid w:val="4AC72371"/>
    <w:rsid w:val="53C82CB7"/>
    <w:rsid w:val="54DA24BE"/>
    <w:rsid w:val="55136D9F"/>
    <w:rsid w:val="567942A9"/>
    <w:rsid w:val="5ED655F0"/>
    <w:rsid w:val="606171FC"/>
    <w:rsid w:val="63B30A2E"/>
    <w:rsid w:val="67E34590"/>
    <w:rsid w:val="69E5493C"/>
    <w:rsid w:val="706E2F12"/>
    <w:rsid w:val="73B41467"/>
    <w:rsid w:val="740E25F9"/>
    <w:rsid w:val="7457781E"/>
    <w:rsid w:val="7AFE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3"/>
      <w:sz w:val="18"/>
      <w:szCs w:val="18"/>
      <w:lang w:val="en-US" w:eastAsia="zh-CN" w:bidi="ar-SA"/>
    </w:rPr>
  </w:style>
  <w:style w:type="paragraph" w:styleId="2">
    <w:name w:val="heading 1"/>
    <w:basedOn w:val="1"/>
    <w:next w:val="1"/>
    <w:link w:val="13"/>
    <w:qFormat/>
    <w:uiPriority w:val="0"/>
    <w:pPr>
      <w:keepNext/>
      <w:keepLines/>
      <w:spacing w:before="340" w:after="330" w:line="576" w:lineRule="auto"/>
      <w:ind w:left="839"/>
      <w:outlineLvl w:val="0"/>
    </w:pPr>
    <w:rPr>
      <w:b/>
      <w:bCs/>
      <w:kern w:val="44"/>
      <w:sz w:val="44"/>
      <w:szCs w:val="44"/>
    </w:rPr>
  </w:style>
  <w:style w:type="character" w:default="1" w:styleId="10">
    <w:name w:val="Default Paragraph Font"/>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Indent"/>
    <w:basedOn w:val="1"/>
    <w:link w:val="18"/>
    <w:qFormat/>
    <w:uiPriority w:val="0"/>
    <w:pPr>
      <w:ind w:firstLine="200" w:firstLineChars="200"/>
    </w:pPr>
    <w:rPr>
      <w:kern w:val="2"/>
      <w:sz w:val="21"/>
      <w:szCs w:val="24"/>
    </w:rPr>
  </w:style>
  <w:style w:type="paragraph" w:styleId="4">
    <w:name w:val="Balloon Text"/>
    <w:basedOn w:val="1"/>
    <w:link w:val="16"/>
    <w:semiHidden/>
    <w:unhideWhenUsed/>
    <w:qFormat/>
    <w:uiPriority w:val="99"/>
  </w:style>
  <w:style w:type="paragraph" w:styleId="5">
    <w:name w:val="footer"/>
    <w:basedOn w:val="1"/>
    <w:link w:val="12"/>
    <w:unhideWhenUsed/>
    <w:qFormat/>
    <w:uiPriority w:val="99"/>
    <w:pPr>
      <w:tabs>
        <w:tab w:val="center" w:pos="4153"/>
        <w:tab w:val="right" w:pos="8306"/>
      </w:tabs>
      <w:snapToGrid w:val="0"/>
      <w:jc w:val="left"/>
    </w:p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Title"/>
    <w:basedOn w:val="1"/>
    <w:link w:val="14"/>
    <w:qFormat/>
    <w:uiPriority w:val="0"/>
    <w:pPr>
      <w:spacing w:after="156" w:afterLines="50"/>
      <w:jc w:val="center"/>
    </w:pPr>
    <w:rPr>
      <w:rFonts w:ascii="Arial" w:hAnsi="Arial" w:cs="Arial" w:eastAsiaTheme="minorEastAsia"/>
      <w:kern w:val="2"/>
      <w:sz w:val="28"/>
      <w:szCs w:val="22"/>
    </w:rPr>
  </w:style>
  <w:style w:type="character" w:customStyle="1" w:styleId="11">
    <w:name w:val="页眉 字符"/>
    <w:basedOn w:val="10"/>
    <w:link w:val="6"/>
    <w:qFormat/>
    <w:uiPriority w:val="99"/>
    <w:rPr>
      <w:sz w:val="18"/>
      <w:szCs w:val="18"/>
    </w:rPr>
  </w:style>
  <w:style w:type="character" w:customStyle="1" w:styleId="12">
    <w:name w:val="页脚 字符"/>
    <w:basedOn w:val="10"/>
    <w:link w:val="5"/>
    <w:qFormat/>
    <w:uiPriority w:val="99"/>
    <w:rPr>
      <w:sz w:val="18"/>
      <w:szCs w:val="18"/>
    </w:rPr>
  </w:style>
  <w:style w:type="character" w:customStyle="1" w:styleId="13">
    <w:name w:val="标题 1 字符"/>
    <w:basedOn w:val="10"/>
    <w:link w:val="2"/>
    <w:qFormat/>
    <w:uiPriority w:val="0"/>
    <w:rPr>
      <w:rFonts w:ascii="Times New Roman" w:hAnsi="Times New Roman" w:eastAsia="宋体" w:cs="Times New Roman"/>
      <w:b/>
      <w:bCs/>
      <w:kern w:val="44"/>
      <w:sz w:val="44"/>
      <w:szCs w:val="44"/>
    </w:rPr>
  </w:style>
  <w:style w:type="character" w:customStyle="1" w:styleId="14">
    <w:name w:val="标题 字符"/>
    <w:link w:val="8"/>
    <w:qFormat/>
    <w:uiPriority w:val="0"/>
    <w:rPr>
      <w:rFonts w:ascii="Arial" w:hAnsi="Arial" w:cs="Arial"/>
      <w:sz w:val="28"/>
    </w:rPr>
  </w:style>
  <w:style w:type="character" w:customStyle="1" w:styleId="15">
    <w:name w:val="标题 Char1"/>
    <w:basedOn w:val="10"/>
    <w:qFormat/>
    <w:uiPriority w:val="10"/>
    <w:rPr>
      <w:rFonts w:eastAsia="宋体" w:asciiTheme="majorHAnsi" w:hAnsiTheme="majorHAnsi" w:cstheme="majorBidi"/>
      <w:b/>
      <w:bCs/>
      <w:kern w:val="3"/>
      <w:sz w:val="32"/>
      <w:szCs w:val="32"/>
    </w:rPr>
  </w:style>
  <w:style w:type="character" w:customStyle="1" w:styleId="16">
    <w:name w:val="批注框文本 字符"/>
    <w:basedOn w:val="10"/>
    <w:link w:val="4"/>
    <w:semiHidden/>
    <w:qFormat/>
    <w:uiPriority w:val="99"/>
    <w:rPr>
      <w:rFonts w:ascii="Times New Roman" w:hAnsi="Times New Roman" w:eastAsia="宋体" w:cs="Times New Roman"/>
      <w:kern w:val="3"/>
      <w:sz w:val="18"/>
      <w:szCs w:val="18"/>
    </w:rPr>
  </w:style>
  <w:style w:type="paragraph" w:customStyle="1" w:styleId="17">
    <w:name w:val="日期1"/>
    <w:basedOn w:val="1"/>
    <w:next w:val="1"/>
    <w:qFormat/>
    <w:uiPriority w:val="0"/>
    <w:pPr>
      <w:spacing w:line="360" w:lineRule="auto"/>
    </w:pPr>
    <w:rPr>
      <w:b/>
      <w:sz w:val="28"/>
      <w:szCs w:val="20"/>
    </w:rPr>
  </w:style>
  <w:style w:type="character" w:customStyle="1" w:styleId="18">
    <w:name w:val="正文文本缩进 字符"/>
    <w:basedOn w:val="10"/>
    <w:link w:val="3"/>
    <w:qFormat/>
    <w:uiPriority w:val="0"/>
    <w:rPr>
      <w:kern w:val="2"/>
      <w:sz w:val="21"/>
      <w:szCs w:val="24"/>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EED61-21A6-49C7-91CE-587C4831A50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6161</Words>
  <Characters>6584</Characters>
  <Lines>48</Lines>
  <Paragraphs>13</Paragraphs>
  <TotalTime>8</TotalTime>
  <ScaleCrop>false</ScaleCrop>
  <LinksUpToDate>false</LinksUpToDate>
  <CharactersWithSpaces>6631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2025-03-19T11:48:00Z</dcterms:created>
  <dc:creator>微软用户</dc:creator>
  <cp:lastModifiedBy>轻舞飞扬</cp:lastModifiedBy>
  <dcterms:modified xsi:type="dcterms:W3CDTF">2026-01-16T01:24:19Z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eyJoZGlkIjoiODBmNTMzZjkzYzI0YjY0ZTVkNDZkMTM4NTY2ZGEwNjciLCJ1c2VySWQiOiI1OTU4NDk1MTUifQ==</vt:lpwstr>
  </property>
  <property fmtid="{D5CDD505-2E9C-101B-9397-08002B2CF9AE}" pid="4" name="ICV">
    <vt:lpwstr>72DE87A8620D4975B016DC6AD30EA9BE_12</vt:lpwstr>
  </property>
</Properties>
</file>